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66" w:rsidRDefault="008D09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F444D" wp14:editId="425C0A1A">
                <wp:simplePos x="0" y="0"/>
                <wp:positionH relativeFrom="column">
                  <wp:posOffset>-85090</wp:posOffset>
                </wp:positionH>
                <wp:positionV relativeFrom="paragraph">
                  <wp:posOffset>349250</wp:posOffset>
                </wp:positionV>
                <wp:extent cx="5892800" cy="930910"/>
                <wp:effectExtent l="0" t="0" r="1270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966" w:rsidRPr="00F0324D" w:rsidRDefault="00F0324D" w:rsidP="007B0E49">
                            <w:pPr>
                              <w:shd w:val="clear" w:color="auto" w:fill="FF0066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Year 8 French </w:t>
                            </w:r>
                            <w:r w:rsidRPr="00F0324D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(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higher)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F44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pt;margin-top:27.5pt;width:464pt;height:7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" fillcolor="white [3201]" strokecolor="white [3212]" strokeweight=".5pt">
                <v:textbox>
                  <w:txbxContent>
                    <w:p w:rsidR="008D0966" w:rsidRPr="00F0324D" w:rsidRDefault="00F0324D" w:rsidP="007B0E49">
                      <w:pPr>
                        <w:shd w:val="clear" w:color="auto" w:fill="FF0066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Year 8 French </w:t>
                      </w:r>
                      <w:r w:rsidRPr="00F0324D">
                        <w:rPr>
                          <w:color w:val="FFFFFF" w:themeColor="background1"/>
                          <w:sz w:val="44"/>
                          <w:szCs w:val="44"/>
                        </w:rPr>
                        <w:t>(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higher)</w:t>
                      </w:r>
                    </w:p>
                  </w:txbxContent>
                </v:textbox>
              </v:shape>
            </w:pict>
          </mc:Fallback>
        </mc:AlternateContent>
      </w:r>
    </w:p>
    <w:p w:rsidR="008D0966" w:rsidRDefault="008D0966"/>
    <w:p w:rsidR="008D0966" w:rsidRDefault="008D0966"/>
    <w:p w:rsidR="008D0966" w:rsidRDefault="008D0966"/>
    <w:p w:rsidR="008D0966" w:rsidRDefault="008D0966"/>
    <w:tbl>
      <w:tblPr>
        <w:tblStyle w:val="TableGrid"/>
        <w:tblW w:w="9356" w:type="dxa"/>
        <w:tblInd w:w="-14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4536"/>
        <w:gridCol w:w="2977"/>
      </w:tblGrid>
      <w:tr w:rsidR="008D0966" w:rsidTr="007B0E49">
        <w:tc>
          <w:tcPr>
            <w:tcW w:w="1843" w:type="dxa"/>
          </w:tcPr>
          <w:p w:rsidR="008D0966" w:rsidRDefault="008D0966"/>
        </w:tc>
        <w:tc>
          <w:tcPr>
            <w:tcW w:w="4536" w:type="dxa"/>
            <w:shd w:val="clear" w:color="auto" w:fill="FF0066"/>
          </w:tcPr>
          <w:p w:rsidR="008D0966" w:rsidRDefault="008D0966">
            <w:r w:rsidRPr="007B0E49">
              <w:rPr>
                <w:color w:val="FFFFFF" w:themeColor="background1"/>
              </w:rPr>
              <w:t>Curriculum Content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D0966" w:rsidRDefault="008D0966">
            <w:r>
              <w:t>Suggested reading or extension activities</w:t>
            </w:r>
          </w:p>
        </w:tc>
      </w:tr>
      <w:tr w:rsidR="008D0966" w:rsidTr="007B0E49">
        <w:tc>
          <w:tcPr>
            <w:tcW w:w="1843" w:type="dxa"/>
            <w:shd w:val="clear" w:color="auto" w:fill="F2F2F2" w:themeFill="background1" w:themeFillShade="F2"/>
          </w:tcPr>
          <w:p w:rsidR="008D0966" w:rsidRDefault="008D0966">
            <w:r>
              <w:t>Autumn 1</w:t>
            </w:r>
          </w:p>
          <w:p w:rsidR="008D0966" w:rsidRDefault="008D0966">
            <w:r>
              <w:t>(Sept-Oct)</w:t>
            </w:r>
          </w:p>
        </w:tc>
        <w:tc>
          <w:tcPr>
            <w:tcW w:w="4536" w:type="dxa"/>
            <w:shd w:val="clear" w:color="auto" w:fill="FF0066"/>
          </w:tcPr>
          <w:p w:rsidR="008D0966" w:rsidRDefault="00F0324D" w:rsidP="00F032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324D">
              <w:rPr>
                <w:sz w:val="24"/>
                <w:szCs w:val="24"/>
              </w:rPr>
              <w:t>Talking about TV programmes using the present tense of “</w:t>
            </w:r>
            <w:proofErr w:type="spellStart"/>
            <w:r w:rsidRPr="00F0324D">
              <w:rPr>
                <w:sz w:val="24"/>
                <w:szCs w:val="24"/>
              </w:rPr>
              <w:t>er</w:t>
            </w:r>
            <w:proofErr w:type="spellEnd"/>
            <w:r w:rsidRPr="00F0324D">
              <w:rPr>
                <w:sz w:val="24"/>
                <w:szCs w:val="24"/>
              </w:rPr>
              <w:t>” verbs.</w:t>
            </w:r>
          </w:p>
          <w:p w:rsidR="00F0324D" w:rsidRDefault="00F0324D" w:rsidP="00F032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films using the present tense of “</w:t>
            </w:r>
            <w:proofErr w:type="spellStart"/>
            <w:r>
              <w:rPr>
                <w:sz w:val="24"/>
                <w:szCs w:val="24"/>
              </w:rPr>
              <w:t>avoir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être</w:t>
            </w:r>
            <w:proofErr w:type="spellEnd"/>
            <w:r>
              <w:rPr>
                <w:sz w:val="24"/>
                <w:szCs w:val="24"/>
              </w:rPr>
              <w:t>”.</w:t>
            </w:r>
          </w:p>
          <w:p w:rsidR="00F0324D" w:rsidRDefault="00F0324D" w:rsidP="00F032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Talking about reading using the present tense of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and re verbs.</w:t>
            </w:r>
          </w:p>
          <w:p w:rsidR="00F0324D" w:rsidRDefault="00F0324D" w:rsidP="00F032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Talking about the internet using the verbs </w:t>
            </w:r>
            <w:proofErr w:type="spellStart"/>
            <w:r>
              <w:rPr>
                <w:sz w:val="24"/>
                <w:szCs w:val="24"/>
              </w:rPr>
              <w:t>aller</w:t>
            </w:r>
            <w:proofErr w:type="spellEnd"/>
            <w:r>
              <w:rPr>
                <w:sz w:val="24"/>
                <w:szCs w:val="24"/>
              </w:rPr>
              <w:t xml:space="preserve"> and faire.</w:t>
            </w:r>
          </w:p>
          <w:p w:rsidR="00F0324D" w:rsidRDefault="00F0324D" w:rsidP="00F032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perfect tense to talk about what you did yesterday.</w:t>
            </w:r>
          </w:p>
          <w:p w:rsidR="00F0324D" w:rsidRPr="00F0324D" w:rsidRDefault="00F0324D" w:rsidP="00F032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your favourite TV programmes, films and books.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A4631A" w:rsidRDefault="00A4631A" w:rsidP="00A4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2 rouge by Clive Bell and </w:t>
            </w:r>
            <w:proofErr w:type="spellStart"/>
            <w:r>
              <w:rPr>
                <w:sz w:val="24"/>
                <w:szCs w:val="24"/>
              </w:rPr>
              <w:t>Anneli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Mclachlan</w:t>
            </w:r>
            <w:proofErr w:type="spellEnd"/>
            <w:r>
              <w:rPr>
                <w:sz w:val="24"/>
                <w:szCs w:val="24"/>
              </w:rPr>
              <w:t>. Heinemann (Pearson)</w:t>
            </w:r>
          </w:p>
          <w:p w:rsidR="00A4631A" w:rsidRDefault="00A4631A" w:rsidP="00A4631A">
            <w:pPr>
              <w:rPr>
                <w:sz w:val="24"/>
                <w:szCs w:val="24"/>
              </w:rPr>
            </w:pPr>
          </w:p>
          <w:p w:rsidR="00A4631A" w:rsidRDefault="00A4631A" w:rsidP="00A4631A">
            <w:pPr>
              <w:rPr>
                <w:sz w:val="24"/>
                <w:szCs w:val="24"/>
              </w:rPr>
            </w:pPr>
          </w:p>
          <w:p w:rsidR="00A4631A" w:rsidRDefault="00A4631A" w:rsidP="00A4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are given User name and passwords to access </w:t>
            </w:r>
            <w:proofErr w:type="spellStart"/>
            <w:r>
              <w:rPr>
                <w:sz w:val="24"/>
                <w:szCs w:val="24"/>
              </w:rPr>
              <w:t>Linguascope</w:t>
            </w:r>
            <w:proofErr w:type="spellEnd"/>
            <w:r>
              <w:rPr>
                <w:sz w:val="24"/>
                <w:szCs w:val="24"/>
              </w:rPr>
              <w:t xml:space="preserve"> to practise vocabulary.</w:t>
            </w:r>
          </w:p>
          <w:p w:rsidR="00A4631A" w:rsidRDefault="00A4631A" w:rsidP="00A4631A">
            <w:pPr>
              <w:rPr>
                <w:sz w:val="24"/>
                <w:szCs w:val="24"/>
              </w:rPr>
            </w:pPr>
          </w:p>
          <w:p w:rsidR="00A4631A" w:rsidRDefault="00A4631A" w:rsidP="00A4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are advised to go over all vocabulary on a regular basis.</w:t>
            </w:r>
          </w:p>
          <w:p w:rsidR="008D0966" w:rsidRPr="00CA29BF" w:rsidRDefault="008D0966">
            <w:pPr>
              <w:rPr>
                <w:sz w:val="24"/>
                <w:szCs w:val="24"/>
              </w:rPr>
            </w:pPr>
          </w:p>
        </w:tc>
      </w:tr>
      <w:tr w:rsidR="008D0966" w:rsidTr="007B0E49">
        <w:tc>
          <w:tcPr>
            <w:tcW w:w="1843" w:type="dxa"/>
            <w:shd w:val="clear" w:color="auto" w:fill="F2F2F2" w:themeFill="background1" w:themeFillShade="F2"/>
          </w:tcPr>
          <w:p w:rsidR="008D0966" w:rsidRDefault="008D0966">
            <w:r>
              <w:t>Autumn 2</w:t>
            </w:r>
          </w:p>
          <w:p w:rsidR="008D0966" w:rsidRDefault="008D0966">
            <w:r>
              <w:t>(Nov-Dec)</w:t>
            </w:r>
          </w:p>
        </w:tc>
        <w:tc>
          <w:tcPr>
            <w:tcW w:w="4536" w:type="dxa"/>
            <w:shd w:val="clear" w:color="auto" w:fill="FF0066"/>
          </w:tcPr>
          <w:p w:rsidR="008D0966" w:rsidRDefault="00F0324D" w:rsidP="00F0324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perfect tense of regular verbs to say what you did.</w:t>
            </w:r>
          </w:p>
          <w:p w:rsidR="00F0324D" w:rsidRDefault="00F0324D" w:rsidP="00F0324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information about tourist attractions using “</w:t>
            </w:r>
            <w:proofErr w:type="spellStart"/>
            <w:r>
              <w:rPr>
                <w:sz w:val="24"/>
                <w:szCs w:val="24"/>
              </w:rPr>
              <w:t>c’était</w:t>
            </w:r>
            <w:proofErr w:type="spellEnd"/>
            <w:r>
              <w:rPr>
                <w:sz w:val="24"/>
                <w:szCs w:val="24"/>
              </w:rPr>
              <w:t xml:space="preserve">…and </w:t>
            </w:r>
            <w:proofErr w:type="spellStart"/>
            <w:r>
              <w:rPr>
                <w:sz w:val="24"/>
                <w:szCs w:val="24"/>
              </w:rPr>
              <w:t>J’ai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trouvé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ça</w:t>
            </w:r>
            <w:proofErr w:type="spellEnd"/>
            <w:r>
              <w:rPr>
                <w:sz w:val="24"/>
                <w:szCs w:val="24"/>
              </w:rPr>
              <w:t>…”</w:t>
            </w:r>
          </w:p>
          <w:p w:rsidR="00F0324D" w:rsidRDefault="00F0324D" w:rsidP="00F0324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perfect tense with </w:t>
            </w:r>
            <w:proofErr w:type="spellStart"/>
            <w:r>
              <w:rPr>
                <w:sz w:val="24"/>
                <w:szCs w:val="24"/>
              </w:rPr>
              <w:t>être</w:t>
            </w:r>
            <w:proofErr w:type="spellEnd"/>
            <w:r>
              <w:rPr>
                <w:sz w:val="24"/>
                <w:szCs w:val="24"/>
              </w:rPr>
              <w:t xml:space="preserve"> to say where you went and how.</w:t>
            </w:r>
          </w:p>
          <w:p w:rsidR="00F0324D" w:rsidRDefault="00F0324D" w:rsidP="00F0324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Asking questions in the perfect tense.</w:t>
            </w:r>
          </w:p>
          <w:p w:rsidR="00F0324D" w:rsidRPr="00F0324D" w:rsidRDefault="00F0324D" w:rsidP="00F0324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what you do/did in Paris.</w:t>
            </w: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8D0966" w:rsidRDefault="008D0966"/>
        </w:tc>
      </w:tr>
      <w:tr w:rsidR="008D0966" w:rsidTr="007B0E49">
        <w:tc>
          <w:tcPr>
            <w:tcW w:w="1843" w:type="dxa"/>
            <w:shd w:val="clear" w:color="auto" w:fill="F2F2F2" w:themeFill="background1" w:themeFillShade="F2"/>
          </w:tcPr>
          <w:p w:rsidR="008D0966" w:rsidRDefault="008D0966">
            <w:r>
              <w:t>Spring 1</w:t>
            </w:r>
          </w:p>
          <w:p w:rsidR="008D0966" w:rsidRDefault="008D0966">
            <w:r>
              <w:t>(Jan-Feb)</w:t>
            </w:r>
          </w:p>
        </w:tc>
        <w:tc>
          <w:tcPr>
            <w:tcW w:w="4536" w:type="dxa"/>
            <w:shd w:val="clear" w:color="auto" w:fill="FF0066"/>
          </w:tcPr>
          <w:p w:rsidR="008D0966" w:rsidRDefault="009766F8" w:rsidP="00F032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personality using adjectival agreement.</w:t>
            </w:r>
          </w:p>
          <w:p w:rsidR="009766F8" w:rsidRDefault="009766F8" w:rsidP="009766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reflexive verbs to talk about relationships.</w:t>
            </w:r>
          </w:p>
          <w:p w:rsidR="009766F8" w:rsidRDefault="009766F8" w:rsidP="009766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music, agreeing, disagreeing and giving reasons.</w:t>
            </w:r>
          </w:p>
          <w:p w:rsidR="009766F8" w:rsidRDefault="009766F8" w:rsidP="009766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clothes using the near future tense.</w:t>
            </w:r>
          </w:p>
          <w:p w:rsidR="009766F8" w:rsidRPr="00F0324D" w:rsidRDefault="009766F8" w:rsidP="009766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different regions in France.</w:t>
            </w: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8D0966" w:rsidRDefault="008D0966"/>
        </w:tc>
      </w:tr>
      <w:tr w:rsidR="008D0966" w:rsidTr="007B0E49">
        <w:tc>
          <w:tcPr>
            <w:tcW w:w="1843" w:type="dxa"/>
            <w:shd w:val="clear" w:color="auto" w:fill="F2F2F2" w:themeFill="background1" w:themeFillShade="F2"/>
          </w:tcPr>
          <w:p w:rsidR="008D0966" w:rsidRDefault="008D0966">
            <w:r>
              <w:t>Spring2</w:t>
            </w:r>
          </w:p>
          <w:p w:rsidR="008D0966" w:rsidRDefault="008D0966">
            <w:r>
              <w:t>(Feb-March)</w:t>
            </w:r>
          </w:p>
        </w:tc>
        <w:tc>
          <w:tcPr>
            <w:tcW w:w="4536" w:type="dxa"/>
            <w:shd w:val="clear" w:color="auto" w:fill="FF0066"/>
          </w:tcPr>
          <w:p w:rsidR="008D0966" w:rsidRDefault="009766F8" w:rsidP="009766F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comparative adjective and describing where you live.</w:t>
            </w:r>
          </w:p>
          <w:p w:rsidR="009766F8" w:rsidRDefault="009766F8" w:rsidP="009766F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Using preposition and describing your home.</w:t>
            </w:r>
          </w:p>
          <w:p w:rsidR="009766F8" w:rsidRDefault="009766F8" w:rsidP="009766F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verbs “</w:t>
            </w:r>
            <w:proofErr w:type="spellStart"/>
            <w:r>
              <w:rPr>
                <w:sz w:val="24"/>
                <w:szCs w:val="24"/>
              </w:rPr>
              <w:t>boire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prendre</w:t>
            </w:r>
            <w:proofErr w:type="spellEnd"/>
            <w:r>
              <w:rPr>
                <w:sz w:val="24"/>
                <w:szCs w:val="24"/>
              </w:rPr>
              <w:t>” to talk about meals.</w:t>
            </w:r>
          </w:p>
          <w:p w:rsidR="009766F8" w:rsidRDefault="009766F8" w:rsidP="009766F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“</w:t>
            </w: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faut</w:t>
            </w:r>
            <w:proofErr w:type="spellEnd"/>
            <w:r>
              <w:rPr>
                <w:sz w:val="24"/>
                <w:szCs w:val="24"/>
              </w:rPr>
              <w:t>”, to discuss what food to buy.</w:t>
            </w:r>
          </w:p>
          <w:p w:rsidR="009766F8" w:rsidRDefault="00BB788A" w:rsidP="009766F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events, using 3 tenses.</w:t>
            </w:r>
          </w:p>
          <w:p w:rsidR="00BB788A" w:rsidRPr="009766F8" w:rsidRDefault="00BB788A" w:rsidP="009766F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where you live.</w:t>
            </w: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8D0966" w:rsidRDefault="008D0966"/>
        </w:tc>
      </w:tr>
      <w:tr w:rsidR="008D0966" w:rsidTr="007B0E49">
        <w:tc>
          <w:tcPr>
            <w:tcW w:w="1843" w:type="dxa"/>
            <w:shd w:val="clear" w:color="auto" w:fill="F2F2F2" w:themeFill="background1" w:themeFillShade="F2"/>
          </w:tcPr>
          <w:p w:rsidR="008D0966" w:rsidRDefault="008D0966">
            <w:r>
              <w:t>Summer 1</w:t>
            </w:r>
          </w:p>
          <w:p w:rsidR="008D0966" w:rsidRDefault="008D0966">
            <w:r>
              <w:t>(April-May)</w:t>
            </w:r>
          </w:p>
        </w:tc>
        <w:tc>
          <w:tcPr>
            <w:tcW w:w="4536" w:type="dxa"/>
            <w:shd w:val="clear" w:color="auto" w:fill="FF0066"/>
          </w:tcPr>
          <w:p w:rsidR="008D0966" w:rsidRDefault="00BB788A" w:rsidP="00BB788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talent and ambition using the verb “</w:t>
            </w:r>
            <w:proofErr w:type="spellStart"/>
            <w:r>
              <w:rPr>
                <w:sz w:val="24"/>
                <w:szCs w:val="24"/>
              </w:rPr>
              <w:t>vouloir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BB788A" w:rsidRDefault="00BB788A" w:rsidP="00BB788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Applying persuasive language, using the verbs “</w:t>
            </w:r>
            <w:proofErr w:type="spellStart"/>
            <w:r>
              <w:rPr>
                <w:sz w:val="24"/>
                <w:szCs w:val="24"/>
              </w:rPr>
              <w:t>pouvoir</w:t>
            </w:r>
            <w:proofErr w:type="spellEnd"/>
            <w:r>
              <w:rPr>
                <w:sz w:val="24"/>
                <w:szCs w:val="24"/>
              </w:rPr>
              <w:t xml:space="preserve"> and devoir”.</w:t>
            </w:r>
          </w:p>
          <w:p w:rsidR="00BB788A" w:rsidRDefault="00BB788A" w:rsidP="00BB788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imperative.</w:t>
            </w:r>
          </w:p>
          <w:p w:rsidR="00BB788A" w:rsidRDefault="00BB788A" w:rsidP="00BB788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superlatives.</w:t>
            </w:r>
          </w:p>
          <w:p w:rsidR="00BB788A" w:rsidRDefault="00BB788A" w:rsidP="00BB788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Showing how much you can do with the French language, using a variety of structures and tenses.</w:t>
            </w:r>
          </w:p>
          <w:p w:rsidR="00BB788A" w:rsidRPr="00BB788A" w:rsidRDefault="00BB788A" w:rsidP="00BB788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about the French TV programme, Nouvelle Star.</w:t>
            </w: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8D0966" w:rsidRDefault="008D0966"/>
        </w:tc>
      </w:tr>
      <w:tr w:rsidR="008D0966" w:rsidTr="007B0E49">
        <w:tc>
          <w:tcPr>
            <w:tcW w:w="1843" w:type="dxa"/>
            <w:shd w:val="clear" w:color="auto" w:fill="F2F2F2" w:themeFill="background1" w:themeFillShade="F2"/>
          </w:tcPr>
          <w:p w:rsidR="008D0966" w:rsidRDefault="008D0966">
            <w:r>
              <w:t>Summer 2</w:t>
            </w:r>
          </w:p>
          <w:p w:rsidR="008D0966" w:rsidRDefault="008D0966">
            <w:r>
              <w:t>(June-July)</w:t>
            </w:r>
          </w:p>
        </w:tc>
        <w:tc>
          <w:tcPr>
            <w:tcW w:w="4536" w:type="dxa"/>
            <w:shd w:val="clear" w:color="auto" w:fill="FF0066"/>
          </w:tcPr>
          <w:p w:rsidR="008D0966" w:rsidRPr="00BB788A" w:rsidRDefault="00BB788A" w:rsidP="00BB788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Studying a film and writing a film review in French.</w:t>
            </w: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8D0966" w:rsidRDefault="008D0966"/>
        </w:tc>
      </w:tr>
    </w:tbl>
    <w:p w:rsidR="00DF3A70" w:rsidRDefault="00DF3A70"/>
    <w:tbl>
      <w:tblPr>
        <w:tblStyle w:val="TableGrid"/>
        <w:tblW w:w="16869" w:type="dxa"/>
        <w:tblInd w:w="-14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7513"/>
        <w:gridCol w:w="7513"/>
      </w:tblGrid>
      <w:tr w:rsidR="00A4631A" w:rsidTr="00A4631A">
        <w:tc>
          <w:tcPr>
            <w:tcW w:w="1843" w:type="dxa"/>
            <w:shd w:val="clear" w:color="auto" w:fill="FF0066"/>
          </w:tcPr>
          <w:p w:rsidR="00A4631A" w:rsidRPr="007B0E49" w:rsidRDefault="00A4631A" w:rsidP="00A4631A">
            <w:pPr>
              <w:rPr>
                <w:color w:val="FFFFFF" w:themeColor="background1"/>
                <w:sz w:val="24"/>
                <w:szCs w:val="24"/>
              </w:rPr>
            </w:pPr>
            <w:r w:rsidRPr="007B0E49">
              <w:rPr>
                <w:color w:val="FFFFFF" w:themeColor="background1"/>
                <w:sz w:val="24"/>
                <w:szCs w:val="24"/>
              </w:rPr>
              <w:t>Examples of home learning tasks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A4631A" w:rsidRPr="00CA29BF" w:rsidRDefault="00A4631A" w:rsidP="00A4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will have the opportunity to research aspects of French culture relating to the topics they cover this year. For example research on French cities, French TV shows, French music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….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A4631A" w:rsidRPr="00CA29BF" w:rsidRDefault="00A4631A" w:rsidP="00A4631A">
            <w:pPr>
              <w:rPr>
                <w:sz w:val="24"/>
                <w:szCs w:val="24"/>
              </w:rPr>
            </w:pPr>
          </w:p>
        </w:tc>
      </w:tr>
      <w:tr w:rsidR="00A4631A" w:rsidTr="00A4631A">
        <w:tc>
          <w:tcPr>
            <w:tcW w:w="1843" w:type="dxa"/>
            <w:shd w:val="clear" w:color="auto" w:fill="FF0066"/>
          </w:tcPr>
          <w:p w:rsidR="00A4631A" w:rsidRPr="007B0E49" w:rsidRDefault="00A4631A" w:rsidP="00A4631A">
            <w:pPr>
              <w:rPr>
                <w:color w:val="FFFFFF" w:themeColor="background1"/>
              </w:rPr>
            </w:pPr>
            <w:r w:rsidRPr="007B0E49">
              <w:rPr>
                <w:color w:val="FFFFFF" w:themeColor="background1"/>
              </w:rPr>
              <w:t>Assessment tasks, methods and frequency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A4631A" w:rsidRDefault="00A4631A" w:rsidP="00A4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will be tested after each unit of work at the end of each half term.</w:t>
            </w:r>
          </w:p>
          <w:p w:rsidR="00A4631A" w:rsidRPr="00CA29BF" w:rsidRDefault="00A4631A" w:rsidP="00A4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will be tested on 2 skills each half term. The four skills are, listening, speaking, reading and writing.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A4631A" w:rsidRPr="00CA29BF" w:rsidRDefault="00A4631A" w:rsidP="00A4631A">
            <w:pPr>
              <w:rPr>
                <w:sz w:val="24"/>
                <w:szCs w:val="24"/>
              </w:rPr>
            </w:pPr>
          </w:p>
        </w:tc>
      </w:tr>
      <w:tr w:rsidR="00A4631A" w:rsidTr="00A4631A">
        <w:tc>
          <w:tcPr>
            <w:tcW w:w="1843" w:type="dxa"/>
            <w:shd w:val="clear" w:color="auto" w:fill="FF0066"/>
          </w:tcPr>
          <w:p w:rsidR="00A4631A" w:rsidRPr="007B0E49" w:rsidRDefault="00A4631A" w:rsidP="00A4631A">
            <w:pPr>
              <w:rPr>
                <w:color w:val="FFFFFF" w:themeColor="background1"/>
              </w:rPr>
            </w:pPr>
            <w:r w:rsidRPr="007B0E49">
              <w:rPr>
                <w:color w:val="FFFFFF" w:themeColor="background1"/>
              </w:rPr>
              <w:t>Equipment that students need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A4631A" w:rsidRPr="00CA29BF" w:rsidRDefault="00A4631A" w:rsidP="00A4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should bring a French to English pocket dictionary to class.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A4631A" w:rsidRPr="00CA29BF" w:rsidRDefault="00A4631A" w:rsidP="00A4631A">
            <w:pPr>
              <w:rPr>
                <w:sz w:val="24"/>
                <w:szCs w:val="24"/>
              </w:rPr>
            </w:pPr>
          </w:p>
        </w:tc>
      </w:tr>
      <w:tr w:rsidR="00A4631A" w:rsidTr="00A4631A">
        <w:tc>
          <w:tcPr>
            <w:tcW w:w="1843" w:type="dxa"/>
            <w:shd w:val="clear" w:color="auto" w:fill="FF0066"/>
          </w:tcPr>
          <w:p w:rsidR="00A4631A" w:rsidRPr="007B0E49" w:rsidRDefault="00A4631A" w:rsidP="00A4631A">
            <w:pPr>
              <w:rPr>
                <w:color w:val="FFFFFF" w:themeColor="background1"/>
              </w:rPr>
            </w:pPr>
            <w:r w:rsidRPr="007B0E49">
              <w:rPr>
                <w:color w:val="FFFFFF" w:themeColor="background1"/>
              </w:rPr>
              <w:t>Parents/cares can help their child by: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A4631A" w:rsidRDefault="00A4631A" w:rsidP="00A4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Encouraging them to go over all work done in class on a regular and to ask questions the following lesson about anything they didn’t understand.</w:t>
            </w:r>
          </w:p>
          <w:p w:rsidR="00A4631A" w:rsidRDefault="00A4631A" w:rsidP="00A4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they use the websites provided to compliment work done in class.</w:t>
            </w:r>
          </w:p>
          <w:p w:rsidR="00A4631A" w:rsidRPr="00CA29BF" w:rsidRDefault="00A4631A" w:rsidP="00A4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and ensuring that homework is always completed.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A4631A" w:rsidRPr="00CA29BF" w:rsidRDefault="00A4631A" w:rsidP="00A4631A">
            <w:pPr>
              <w:rPr>
                <w:sz w:val="24"/>
                <w:szCs w:val="24"/>
              </w:rPr>
            </w:pPr>
          </w:p>
        </w:tc>
      </w:tr>
      <w:tr w:rsidR="00A4631A" w:rsidTr="00A4631A">
        <w:tc>
          <w:tcPr>
            <w:tcW w:w="1843" w:type="dxa"/>
            <w:shd w:val="clear" w:color="auto" w:fill="FF0066"/>
          </w:tcPr>
          <w:p w:rsidR="00A4631A" w:rsidRPr="007B0E49" w:rsidRDefault="00A4631A" w:rsidP="00A4631A">
            <w:pPr>
              <w:rPr>
                <w:color w:val="FFFFFF" w:themeColor="background1"/>
              </w:rPr>
            </w:pPr>
            <w:r w:rsidRPr="007B0E49">
              <w:rPr>
                <w:color w:val="FFFFFF" w:themeColor="background1"/>
              </w:rPr>
              <w:t>Useful websites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A4631A" w:rsidRDefault="006519B0" w:rsidP="00A4631A">
            <w:pPr>
              <w:rPr>
                <w:sz w:val="24"/>
                <w:szCs w:val="24"/>
              </w:rPr>
            </w:pPr>
            <w:hyperlink r:id="rId5" w:history="1">
              <w:r w:rsidR="00A4631A" w:rsidRPr="001C0601">
                <w:rPr>
                  <w:rStyle w:val="Hyperlink"/>
                  <w:sz w:val="24"/>
                  <w:szCs w:val="24"/>
                </w:rPr>
                <w:t>www.linguascope.com</w:t>
              </w:r>
            </w:hyperlink>
          </w:p>
          <w:p w:rsidR="006519B0" w:rsidRDefault="006519B0" w:rsidP="006519B0">
            <w:pPr>
              <w:rPr>
                <w:rStyle w:val="Hyperlink"/>
                <w:sz w:val="24"/>
                <w:szCs w:val="24"/>
              </w:rPr>
            </w:pPr>
            <w:hyperlink r:id="rId6" w:history="1">
              <w:r w:rsidR="00A4631A" w:rsidRPr="001C0601">
                <w:rPr>
                  <w:rStyle w:val="Hyperlink"/>
                  <w:sz w:val="24"/>
                  <w:szCs w:val="24"/>
                </w:rPr>
                <w:t>www.bbc.co.uk/bitesize</w:t>
              </w:r>
            </w:hyperlink>
          </w:p>
          <w:p w:rsidR="006519B0" w:rsidRDefault="006519B0" w:rsidP="006519B0">
            <w:pPr>
              <w:rPr>
                <w:rStyle w:val="Hyperlink"/>
                <w:sz w:val="24"/>
                <w:szCs w:val="24"/>
              </w:rPr>
            </w:pPr>
            <w:hyperlink r:id="rId7" w:history="1">
              <w:r w:rsidRPr="00CB25A0">
                <w:rPr>
                  <w:rStyle w:val="Hyperlink"/>
                  <w:sz w:val="24"/>
                  <w:szCs w:val="24"/>
                </w:rPr>
                <w:t>www.quizlet.com</w:t>
              </w:r>
            </w:hyperlink>
          </w:p>
          <w:p w:rsidR="006519B0" w:rsidRPr="006519B0" w:rsidRDefault="006519B0" w:rsidP="00A4631A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Style w:val="Hyperlink"/>
                <w:sz w:val="24"/>
                <w:szCs w:val="24"/>
              </w:rPr>
              <w:t>www.babbel.com</w:t>
            </w:r>
            <w:bookmarkStart w:id="0" w:name="_GoBack"/>
            <w:bookmarkEnd w:id="0"/>
          </w:p>
        </w:tc>
        <w:tc>
          <w:tcPr>
            <w:tcW w:w="7513" w:type="dxa"/>
            <w:shd w:val="clear" w:color="auto" w:fill="F2F2F2" w:themeFill="background1" w:themeFillShade="F2"/>
          </w:tcPr>
          <w:p w:rsidR="00A4631A" w:rsidRPr="00CA29BF" w:rsidRDefault="00A4631A" w:rsidP="00A4631A">
            <w:pPr>
              <w:rPr>
                <w:sz w:val="24"/>
                <w:szCs w:val="24"/>
              </w:rPr>
            </w:pPr>
          </w:p>
        </w:tc>
      </w:tr>
      <w:tr w:rsidR="00A4631A" w:rsidTr="00A4631A">
        <w:tc>
          <w:tcPr>
            <w:tcW w:w="1843" w:type="dxa"/>
            <w:shd w:val="clear" w:color="auto" w:fill="FF0066"/>
          </w:tcPr>
          <w:p w:rsidR="00A4631A" w:rsidRPr="007B0E49" w:rsidRDefault="00A4631A" w:rsidP="00A4631A">
            <w:pPr>
              <w:rPr>
                <w:color w:val="FFFFFF" w:themeColor="background1"/>
              </w:rPr>
            </w:pPr>
            <w:r w:rsidRPr="007B0E49">
              <w:rPr>
                <w:color w:val="FFFFFF" w:themeColor="background1"/>
              </w:rPr>
              <w:t>Enrichment activities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A4631A" w:rsidRDefault="00A4631A" w:rsidP="00A4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Discovering French/Spanish culture through authentic songs, films and school trips.</w:t>
            </w:r>
          </w:p>
          <w:p w:rsidR="00A4631A" w:rsidRPr="00CA29BF" w:rsidRDefault="00A4631A" w:rsidP="00A4631A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:rsidR="00A4631A" w:rsidRPr="00CA29BF" w:rsidRDefault="00A4631A" w:rsidP="00A4631A">
            <w:pPr>
              <w:rPr>
                <w:sz w:val="24"/>
                <w:szCs w:val="24"/>
              </w:rPr>
            </w:pPr>
          </w:p>
        </w:tc>
      </w:tr>
    </w:tbl>
    <w:p w:rsidR="008D0966" w:rsidRDefault="008D0966"/>
    <w:tbl>
      <w:tblPr>
        <w:tblStyle w:val="TableGrid"/>
        <w:tblW w:w="9356" w:type="dxa"/>
        <w:tblInd w:w="-14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8D0966" w:rsidTr="007B0E49">
        <w:tc>
          <w:tcPr>
            <w:tcW w:w="1843" w:type="dxa"/>
            <w:shd w:val="clear" w:color="auto" w:fill="FF0066"/>
          </w:tcPr>
          <w:p w:rsidR="008D0966" w:rsidRPr="007B0E49" w:rsidRDefault="008D0966">
            <w:pPr>
              <w:rPr>
                <w:color w:val="FFFFFF" w:themeColor="background1"/>
              </w:rPr>
            </w:pPr>
            <w:r w:rsidRPr="007B0E49">
              <w:rPr>
                <w:color w:val="FFFFFF" w:themeColor="background1"/>
              </w:rPr>
              <w:t>Who can I contact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8D0966" w:rsidRPr="00CA29BF" w:rsidRDefault="00A4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member of MFL Department</w:t>
            </w:r>
          </w:p>
        </w:tc>
      </w:tr>
    </w:tbl>
    <w:p w:rsidR="008D0966" w:rsidRDefault="008D0966"/>
    <w:sectPr w:rsidR="008D0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B77"/>
    <w:multiLevelType w:val="hybridMultilevel"/>
    <w:tmpl w:val="92AC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C7D"/>
    <w:multiLevelType w:val="hybridMultilevel"/>
    <w:tmpl w:val="1960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B1595"/>
    <w:multiLevelType w:val="hybridMultilevel"/>
    <w:tmpl w:val="661E2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4B52"/>
    <w:multiLevelType w:val="hybridMultilevel"/>
    <w:tmpl w:val="BFDC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42016"/>
    <w:multiLevelType w:val="hybridMultilevel"/>
    <w:tmpl w:val="473E7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3678E"/>
    <w:multiLevelType w:val="hybridMultilevel"/>
    <w:tmpl w:val="126C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3571F"/>
    <w:multiLevelType w:val="hybridMultilevel"/>
    <w:tmpl w:val="2BAA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66"/>
    <w:rsid w:val="004F3D09"/>
    <w:rsid w:val="006519B0"/>
    <w:rsid w:val="007B0E49"/>
    <w:rsid w:val="008D0966"/>
    <w:rsid w:val="009766F8"/>
    <w:rsid w:val="00A4631A"/>
    <w:rsid w:val="00BB788A"/>
    <w:rsid w:val="00CA29BF"/>
    <w:rsid w:val="00D75F8A"/>
    <w:rsid w:val="00DF3A70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D809D-C36D-4B4C-A288-350DC4A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iz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bitesize" TargetMode="External"/><Relationship Id="rId5" Type="http://schemas.openxmlformats.org/officeDocument/2006/relationships/hyperlink" Target="http://www.linguascop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Davis</dc:creator>
  <cp:keywords/>
  <dc:description/>
  <cp:lastModifiedBy>Tracy Jordan</cp:lastModifiedBy>
  <cp:revision>5</cp:revision>
  <dcterms:created xsi:type="dcterms:W3CDTF">2017-07-13T09:51:00Z</dcterms:created>
  <dcterms:modified xsi:type="dcterms:W3CDTF">2017-07-19T12:40:00Z</dcterms:modified>
</cp:coreProperties>
</file>